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5670"/>
        </w:tabs>
        <w:spacing w:after="240" w:before="240" w:line="360" w:lineRule="auto"/>
        <w:ind w:right="133.937007874016" w:firstLine="0"/>
        <w:jc w:val="center"/>
        <w:rPr/>
      </w:pPr>
      <w:r w:rsidDel="00000000" w:rsidR="00000000" w:rsidRPr="00000000">
        <w:rPr>
          <w:rtl w:val="0"/>
        </w:rPr>
        <w:t xml:space="preserve">MODULO PER DICHIARAZIONE RIGUARDANTE IL CUP</w:t>
      </w:r>
    </w:p>
    <w:p w:rsidR="00000000" w:rsidDel="00000000" w:rsidP="00000000" w:rsidRDefault="00000000" w:rsidRPr="00000000" w14:paraId="00000002">
      <w:pPr>
        <w:tabs>
          <w:tab w:val="left" w:pos="5670"/>
        </w:tabs>
        <w:spacing w:after="240" w:before="240" w:line="240" w:lineRule="auto"/>
        <w:ind w:right="133.937007874016" w:firstLine="0"/>
        <w:jc w:val="both"/>
        <w:rPr/>
      </w:pPr>
      <w:r w:rsidDel="00000000" w:rsidR="00000000" w:rsidRPr="00000000">
        <w:rPr>
          <w:rtl w:val="0"/>
        </w:rPr>
        <w:t xml:space="preserve">Il sottoscritto __________________________________ nato a ____________________________</w:t>
      </w:r>
    </w:p>
    <w:p w:rsidR="00000000" w:rsidDel="00000000" w:rsidP="00000000" w:rsidRDefault="00000000" w:rsidRPr="00000000" w14:paraId="00000003">
      <w:pPr>
        <w:tabs>
          <w:tab w:val="left" w:pos="5670"/>
        </w:tabs>
        <w:spacing w:after="240" w:before="240" w:line="240" w:lineRule="auto"/>
        <w:ind w:right="133.937007874016" w:firstLine="0"/>
        <w:jc w:val="both"/>
        <w:rPr/>
      </w:pPr>
      <w:r w:rsidDel="00000000" w:rsidR="00000000" w:rsidRPr="00000000">
        <w:rPr>
          <w:rtl w:val="0"/>
        </w:rPr>
        <w:t xml:space="preserve">il _________________________ residente in ____________________________ prov. _________</w:t>
      </w:r>
    </w:p>
    <w:p w:rsidR="00000000" w:rsidDel="00000000" w:rsidP="00000000" w:rsidRDefault="00000000" w:rsidRPr="00000000" w14:paraId="00000004">
      <w:pPr>
        <w:tabs>
          <w:tab w:val="left" w:pos="5670"/>
        </w:tabs>
        <w:spacing w:after="240" w:before="240" w:line="240" w:lineRule="auto"/>
        <w:ind w:right="133.937007874016" w:firstLine="0"/>
        <w:jc w:val="both"/>
        <w:rPr/>
      </w:pPr>
      <w:r w:rsidDel="00000000" w:rsidR="00000000" w:rsidRPr="00000000">
        <w:rPr>
          <w:rtl w:val="0"/>
        </w:rPr>
        <w:t xml:space="preserve">Via _______________________________ Codice Fiscale _________________________________</w:t>
      </w:r>
    </w:p>
    <w:p w:rsidR="00000000" w:rsidDel="00000000" w:rsidP="00000000" w:rsidRDefault="00000000" w:rsidRPr="00000000" w14:paraId="00000005">
      <w:pPr>
        <w:tabs>
          <w:tab w:val="left" w:pos="5670"/>
        </w:tabs>
        <w:spacing w:after="0" w:before="0" w:line="240" w:lineRule="auto"/>
        <w:ind w:right="133.937007874016" w:firstLine="0"/>
        <w:jc w:val="both"/>
        <w:rPr/>
      </w:pPr>
      <w:r w:rsidDel="00000000" w:rsidR="00000000" w:rsidRPr="00000000">
        <w:rPr>
          <w:rtl w:val="0"/>
        </w:rPr>
        <w:t xml:space="preserve">in qualità di Titolare/Legale Rappresentante dell’impresa _________________________________ </w:t>
      </w:r>
    </w:p>
    <w:p w:rsidR="00000000" w:rsidDel="00000000" w:rsidP="00000000" w:rsidRDefault="00000000" w:rsidRPr="00000000" w14:paraId="00000006">
      <w:pPr>
        <w:tabs>
          <w:tab w:val="left" w:pos="5670"/>
        </w:tabs>
        <w:spacing w:after="240" w:before="240" w:line="240" w:lineRule="auto"/>
        <w:ind w:right="133.937007874016" w:firstLine="0"/>
        <w:jc w:val="both"/>
        <w:rPr/>
      </w:pPr>
      <w:r w:rsidDel="00000000" w:rsidR="00000000" w:rsidRPr="00000000">
        <w:rPr>
          <w:rtl w:val="0"/>
        </w:rPr>
        <w:t xml:space="preserve"> dell’impresa_____________________________________________________________________</w:t>
      </w:r>
    </w:p>
    <w:p w:rsidR="00000000" w:rsidDel="00000000" w:rsidP="00000000" w:rsidRDefault="00000000" w:rsidRPr="00000000" w14:paraId="00000007">
      <w:pPr>
        <w:tabs>
          <w:tab w:val="left" w:pos="5670"/>
        </w:tabs>
        <w:spacing w:after="240" w:before="240" w:line="240" w:lineRule="auto"/>
        <w:ind w:right="133.937007874016" w:firstLine="0"/>
        <w:jc w:val="both"/>
        <w:rPr/>
      </w:pPr>
      <w:r w:rsidDel="00000000" w:rsidR="00000000" w:rsidRPr="00000000">
        <w:rPr>
          <w:rtl w:val="0"/>
        </w:rPr>
        <w:t xml:space="preserve">con sede legale in _________________________ Via ____________________________________</w:t>
      </w:r>
    </w:p>
    <w:p w:rsidR="00000000" w:rsidDel="00000000" w:rsidP="00000000" w:rsidRDefault="00000000" w:rsidRPr="00000000" w14:paraId="00000008">
      <w:pPr>
        <w:tabs>
          <w:tab w:val="left" w:pos="5670"/>
        </w:tabs>
        <w:spacing w:after="240" w:before="240" w:line="240" w:lineRule="auto"/>
        <w:ind w:right="133.937007874016" w:firstLine="0"/>
        <w:jc w:val="both"/>
        <w:rPr>
          <w:sz w:val="16"/>
          <w:szCs w:val="16"/>
        </w:rPr>
      </w:pPr>
      <w:r w:rsidDel="00000000" w:rsidR="00000000" w:rsidRPr="00000000">
        <w:rPr>
          <w:rtl w:val="0"/>
        </w:rPr>
        <w:t xml:space="preserve">Codice Fiscale ____________________________ Partita Iva _______________________________</w:t>
      </w:r>
      <w:r w:rsidDel="00000000" w:rsidR="00000000" w:rsidRPr="00000000">
        <w:rPr>
          <w:rtl w:val="0"/>
        </w:rPr>
      </w:r>
    </w:p>
    <w:p w:rsidR="00000000" w:rsidDel="00000000" w:rsidP="00000000" w:rsidRDefault="00000000" w:rsidRPr="00000000" w14:paraId="00000009">
      <w:pPr>
        <w:tabs>
          <w:tab w:val="left" w:pos="5670"/>
        </w:tabs>
        <w:spacing w:after="240" w:before="240" w:line="240" w:lineRule="auto"/>
        <w:ind w:right="559.1338582677173" w:firstLine="0"/>
        <w:jc w:val="center"/>
        <w:rPr/>
      </w:pPr>
      <w:r w:rsidDel="00000000" w:rsidR="00000000" w:rsidRPr="00000000">
        <w:rPr>
          <w:sz w:val="16"/>
          <w:szCs w:val="16"/>
          <w:rtl w:val="0"/>
        </w:rPr>
        <w:t xml:space="preserve"> </w:t>
      </w:r>
      <w:r w:rsidDel="00000000" w:rsidR="00000000" w:rsidRPr="00000000">
        <w:rPr>
          <w:rtl w:val="0"/>
        </w:rPr>
        <w:t xml:space="preserve">PRESO ATTO</w:t>
      </w:r>
    </w:p>
    <w:p w:rsidR="00000000" w:rsidDel="00000000" w:rsidP="00000000" w:rsidRDefault="00000000" w:rsidRPr="00000000" w14:paraId="0000000A">
      <w:pPr>
        <w:tabs>
          <w:tab w:val="left" w:pos="5670"/>
        </w:tabs>
        <w:spacing w:after="240" w:before="240" w:line="240" w:lineRule="auto"/>
        <w:ind w:right="559.1338582677173" w:firstLine="0"/>
        <w:jc w:val="both"/>
        <w:rPr/>
      </w:pPr>
      <w:r w:rsidDel="00000000" w:rsidR="00000000" w:rsidRPr="00000000">
        <w:rPr>
          <w:rtl w:val="0"/>
        </w:rPr>
        <w:t xml:space="preserve">dell’obbligo di apporre il CUP (Codice Unico di Progetto) su ogni titolo di spesa rendicontato ai fini dell’erogazione del contributo a valere sul “BANDO TURISMO – ANNO 2020.”;</w:t>
      </w:r>
    </w:p>
    <w:p w:rsidR="00000000" w:rsidDel="00000000" w:rsidP="00000000" w:rsidRDefault="00000000" w:rsidRPr="00000000" w14:paraId="0000000B">
      <w:pPr>
        <w:tabs>
          <w:tab w:val="left" w:pos="5670"/>
        </w:tabs>
        <w:spacing w:after="240" w:before="240" w:line="240" w:lineRule="auto"/>
        <w:ind w:right="559.1338582677173" w:firstLine="0"/>
        <w:jc w:val="center"/>
        <w:rPr/>
      </w:pPr>
      <w:r w:rsidDel="00000000" w:rsidR="00000000" w:rsidRPr="00000000">
        <w:rPr>
          <w:rtl w:val="0"/>
        </w:rPr>
        <w:t xml:space="preserve">DICHIARA</w:t>
      </w:r>
    </w:p>
    <w:p w:rsidR="00000000" w:rsidDel="00000000" w:rsidP="00000000" w:rsidRDefault="00000000" w:rsidRPr="00000000" w14:paraId="0000000C">
      <w:pPr>
        <w:tabs>
          <w:tab w:val="left" w:pos="5670"/>
        </w:tabs>
        <w:spacing w:after="240" w:before="240" w:line="240" w:lineRule="auto"/>
        <w:ind w:right="559.1338582677173" w:firstLine="0"/>
        <w:jc w:val="both"/>
        <w:rPr>
          <w:i w:val="1"/>
        </w:rPr>
      </w:pPr>
      <w:r w:rsidDel="00000000" w:rsidR="00000000" w:rsidRPr="00000000">
        <w:rPr>
          <w:i w:val="1"/>
          <w:rtl w:val="0"/>
        </w:rPr>
        <w:t xml:space="preserve">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w:t>
      </w:r>
    </w:p>
    <w:p w:rsidR="00000000" w:rsidDel="00000000" w:rsidP="00000000" w:rsidRDefault="00000000" w:rsidRPr="00000000" w14:paraId="0000000D">
      <w:pPr>
        <w:numPr>
          <w:ilvl w:val="0"/>
          <w:numId w:val="1"/>
        </w:numPr>
        <w:tabs>
          <w:tab w:val="left" w:pos="5670"/>
        </w:tabs>
        <w:spacing w:after="0" w:line="240" w:lineRule="auto"/>
        <w:ind w:left="425.19685039370086" w:right="559.1338582677173" w:hanging="360"/>
        <w:jc w:val="both"/>
        <w:rPr/>
      </w:pPr>
      <w:r w:rsidDel="00000000" w:rsidR="00000000" w:rsidRPr="00000000">
        <w:rPr>
          <w:rtl w:val="0"/>
        </w:rPr>
        <w:t xml:space="preserve">che data l’origine elettronica delle fatture indicate nella tabella sottostante non è in condizione di apporre il codice CUP risultante dall’atto di concessione del contributo;</w:t>
      </w:r>
    </w:p>
    <w:p w:rsidR="00000000" w:rsidDel="00000000" w:rsidP="00000000" w:rsidRDefault="00000000" w:rsidRPr="00000000" w14:paraId="0000000E">
      <w:pPr>
        <w:numPr>
          <w:ilvl w:val="0"/>
          <w:numId w:val="1"/>
        </w:numPr>
        <w:tabs>
          <w:tab w:val="left" w:pos="5670"/>
        </w:tabs>
        <w:spacing w:after="240" w:line="240" w:lineRule="auto"/>
        <w:ind w:left="425.19685039370086" w:right="559.1338582677173" w:hanging="360"/>
        <w:jc w:val="both"/>
        <w:rPr/>
      </w:pPr>
      <w:r w:rsidDel="00000000" w:rsidR="00000000" w:rsidRPr="00000000">
        <w:rPr>
          <w:rtl w:val="0"/>
        </w:rPr>
        <w:t xml:space="preserve">che le fatture rendicontate e di seguito indicate non concorrono a determinare congiuntamente con altri contributi pubblici di qualsiasi natura sulle stesse iniziative aventi ad oggetto gli stessi costi ammissibili, entrate superiori alla spese.</w:t>
      </w:r>
    </w:p>
    <w:tbl>
      <w:tblPr>
        <w:tblStyle w:val="Table1"/>
        <w:tblW w:w="9000.0" w:type="dxa"/>
        <w:jc w:val="left"/>
        <w:tblInd w:w="-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gridCol w:w="1725"/>
        <w:gridCol w:w="2295"/>
        <w:gridCol w:w="1995"/>
        <w:tblGridChange w:id="0">
          <w:tblGrid>
            <w:gridCol w:w="2985"/>
            <w:gridCol w:w="1725"/>
            <w:gridCol w:w="2295"/>
            <w:gridCol w:w="1995"/>
          </w:tblGrid>
        </w:tblGridChange>
      </w:tblGrid>
      <w:tr>
        <w:trPr>
          <w:trHeight w:val="643.554687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tabs>
                <w:tab w:val="left" w:pos="5241"/>
              </w:tabs>
              <w:spacing w:after="240" w:before="240" w:line="240" w:lineRule="auto"/>
              <w:ind w:right="-7.795275590551114" w:firstLine="0"/>
              <w:jc w:val="center"/>
              <w:rPr>
                <w:b w:val="1"/>
              </w:rPr>
            </w:pPr>
            <w:r w:rsidDel="00000000" w:rsidR="00000000" w:rsidRPr="00000000">
              <w:rPr>
                <w:b w:val="1"/>
                <w:rtl w:val="0"/>
              </w:rPr>
              <w:t xml:space="preserve">Soggetto emittente la fattura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tabs>
                <w:tab w:val="left" w:pos="5241"/>
              </w:tabs>
              <w:spacing w:after="240" w:before="240" w:line="240" w:lineRule="auto"/>
              <w:ind w:right="-7.795275590551114" w:firstLine="0"/>
              <w:jc w:val="center"/>
              <w:rPr>
                <w:b w:val="1"/>
              </w:rPr>
            </w:pPr>
            <w:r w:rsidDel="00000000" w:rsidR="00000000" w:rsidRPr="00000000">
              <w:rPr>
                <w:b w:val="1"/>
                <w:rtl w:val="0"/>
              </w:rPr>
              <w:t xml:space="preserve">n. e data fattura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tabs>
                <w:tab w:val="left" w:pos="5241"/>
              </w:tabs>
              <w:spacing w:after="240" w:before="240" w:line="240" w:lineRule="auto"/>
              <w:ind w:right="-7.795275590551114" w:firstLine="0"/>
              <w:jc w:val="center"/>
              <w:rPr>
                <w:b w:val="1"/>
              </w:rPr>
            </w:pPr>
            <w:r w:rsidDel="00000000" w:rsidR="00000000" w:rsidRPr="00000000">
              <w:rPr>
                <w:b w:val="1"/>
                <w:rtl w:val="0"/>
              </w:rPr>
              <w:t xml:space="preserve">Descrizione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tabs>
                <w:tab w:val="left" w:pos="5241"/>
              </w:tabs>
              <w:spacing w:after="240" w:before="240" w:line="240" w:lineRule="auto"/>
              <w:ind w:right="-7.795275590551114" w:firstLine="0"/>
              <w:jc w:val="center"/>
              <w:rPr>
                <w:b w:val="1"/>
              </w:rPr>
            </w:pPr>
            <w:r w:rsidDel="00000000" w:rsidR="00000000" w:rsidRPr="00000000">
              <w:rPr>
                <w:b w:val="1"/>
                <w:rtl w:val="0"/>
              </w:rPr>
              <w:t xml:space="preserve">Imponibile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7.795275590551114" w:firstLine="0"/>
              <w:jc w:val="left"/>
              <w:rPr>
                <w:b w:val="1"/>
              </w:rPr>
            </w:pPr>
            <w:r w:rsidDel="00000000" w:rsidR="00000000" w:rsidRPr="00000000">
              <w:rPr>
                <w:rtl w:val="0"/>
              </w:rPr>
            </w:r>
          </w:p>
        </w:tc>
      </w:tr>
    </w:tbl>
    <w:p w:rsidR="00000000" w:rsidDel="00000000" w:rsidP="00000000" w:rsidRDefault="00000000" w:rsidRPr="00000000" w14:paraId="0000001B">
      <w:pPr>
        <w:tabs>
          <w:tab w:val="left" w:pos="5670"/>
        </w:tabs>
        <w:spacing w:after="240" w:before="240" w:line="240" w:lineRule="auto"/>
        <w:ind w:firstLine="0"/>
        <w:jc w:val="center"/>
        <w:rPr>
          <w:b w:val="1"/>
          <w:sz w:val="16"/>
          <w:szCs w:val="16"/>
        </w:rPr>
      </w:pPr>
      <w:r w:rsidDel="00000000" w:rsidR="00000000" w:rsidRPr="00000000">
        <w:rPr>
          <w:b w:val="1"/>
          <w:sz w:val="16"/>
          <w:szCs w:val="16"/>
          <w:rtl w:val="0"/>
        </w:rPr>
        <w:t xml:space="preserve"> </w:t>
      </w:r>
    </w:p>
    <w:p w:rsidR="00000000" w:rsidDel="00000000" w:rsidP="00000000" w:rsidRDefault="00000000" w:rsidRPr="00000000" w14:paraId="0000001C">
      <w:pPr>
        <w:spacing w:after="51" w:line="240" w:lineRule="auto"/>
        <w:ind w:left="4956" w:firstLine="707.0000000000005"/>
        <w:jc w:val="both"/>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rtl w:val="0"/>
        </w:rPr>
        <w:t xml:space="preserve">Firma digitale del richiedente</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1D">
      <w:pPr>
        <w:spacing w:after="51" w:line="240" w:lineRule="auto"/>
        <w:ind w:left="4956" w:firstLine="707.0000000000005"/>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(ai sensi del D.Lgs 82/2005)</w:t>
      </w:r>
    </w:p>
    <w:p w:rsidR="00000000" w:rsidDel="00000000" w:rsidP="00000000" w:rsidRDefault="00000000" w:rsidRPr="00000000" w14:paraId="0000001E">
      <w:pPr>
        <w:spacing w:after="120" w:line="240" w:lineRule="auto"/>
        <w:ind w:firstLine="0"/>
        <w:jc w:val="both"/>
        <w:rPr>
          <w:rFonts w:ascii="Verdana" w:cs="Verdana" w:eastAsia="Verdana" w:hAnsi="Verdana"/>
          <w:b w:val="1"/>
          <w:sz w:val="24"/>
          <w:szCs w:val="24"/>
        </w:rPr>
      </w:pPr>
      <w:bookmarkStart w:colFirst="0" w:colLast="0" w:name="_heading=h.1fob9te" w:id="0"/>
      <w:bookmarkEnd w:id="0"/>
      <w:r w:rsidDel="00000000" w:rsidR="00000000" w:rsidRPr="00000000">
        <w:br w:type="page"/>
      </w:r>
      <w:r w:rsidDel="00000000" w:rsidR="00000000" w:rsidRPr="00000000">
        <w:rPr>
          <w:rtl w:val="0"/>
        </w:rPr>
      </w:r>
    </w:p>
    <w:p w:rsidR="00000000" w:rsidDel="00000000" w:rsidP="00000000" w:rsidRDefault="00000000" w:rsidRPr="00000000" w14:paraId="0000001F">
      <w:pPr>
        <w:spacing w:after="120" w:line="240" w:lineRule="auto"/>
        <w:ind w:hanging="2"/>
        <w:jc w:val="both"/>
        <w:rPr>
          <w:rFonts w:ascii="Times New Roman" w:cs="Times New Roman" w:eastAsia="Times New Roman" w:hAnsi="Times New Roman"/>
          <w:b w:val="1"/>
          <w:i w:val="1"/>
          <w:sz w:val="18"/>
          <w:szCs w:val="18"/>
        </w:rPr>
      </w:pPr>
      <w:r w:rsidDel="00000000" w:rsidR="00000000" w:rsidRPr="00000000">
        <w:rPr>
          <w:rFonts w:ascii="Verdana" w:cs="Verdana" w:eastAsia="Verdana" w:hAnsi="Verdana"/>
          <w:b w:val="1"/>
          <w:sz w:val="24"/>
          <w:szCs w:val="24"/>
          <w:rtl w:val="0"/>
        </w:rPr>
        <w:t xml:space="preserve">___________________________________________________</w:t>
      </w:r>
      <w:r w:rsidDel="00000000" w:rsidR="00000000" w:rsidRPr="00000000">
        <w:rPr>
          <w:rtl w:val="0"/>
        </w:rPr>
      </w:r>
    </w:p>
    <w:p w:rsidR="00000000" w:rsidDel="00000000" w:rsidP="00000000" w:rsidRDefault="00000000" w:rsidRPr="00000000" w14:paraId="00000020">
      <w:pPr>
        <w:spacing w:after="0" w:before="100" w:line="240" w:lineRule="auto"/>
        <w:ind w:firstLine="0"/>
        <w:jc w:val="center"/>
        <w:rPr>
          <w:rFonts w:ascii="Cambria" w:cs="Cambria" w:eastAsia="Cambria" w:hAnsi="Cambria"/>
          <w:b w:val="1"/>
          <w:smallCaps w:val="1"/>
          <w:color w:val="002060"/>
          <w:sz w:val="24"/>
          <w:szCs w:val="24"/>
        </w:rPr>
      </w:pPr>
      <w:r w:rsidDel="00000000" w:rsidR="00000000" w:rsidRPr="00000000">
        <w:rPr>
          <w:rFonts w:ascii="Times New Roman" w:cs="Times New Roman" w:eastAsia="Times New Roman" w:hAnsi="Times New Roman"/>
          <w:b w:val="1"/>
          <w:i w:val="1"/>
          <w:sz w:val="18"/>
          <w:szCs w:val="18"/>
          <w:rtl w:val="0"/>
        </w:rPr>
        <w:t xml:space="preserve"> </w:t>
      </w: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21">
      <w:pPr>
        <w:spacing w:after="6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Turismo 2020</w:t>
      </w:r>
    </w:p>
    <w:p w:rsidR="00000000" w:rsidDel="00000000" w:rsidP="00000000" w:rsidRDefault="00000000" w:rsidRPr="00000000" w14:paraId="00000022">
      <w:pPr>
        <w:spacing w:after="0" w:line="240" w:lineRule="auto"/>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23">
      <w:pPr>
        <w:spacing w:after="0" w:line="240" w:lineRule="auto"/>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24">
      <w:pPr>
        <w:spacing w:after="0" w:line="240" w:lineRule="auto"/>
        <w:ind w:firstLine="0"/>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Turismo 2020</w:t>
      </w:r>
      <w:r w:rsidDel="00000000" w:rsidR="00000000" w:rsidRPr="00000000">
        <w:rPr>
          <w:sz w:val="16"/>
          <w:szCs w:val="16"/>
          <w:highlight w:val="white"/>
          <w:rtl w:val="0"/>
        </w:rPr>
        <w:t xml:space="preserve">.</w:t>
      </w:r>
    </w:p>
    <w:p w:rsidR="00000000" w:rsidDel="00000000" w:rsidP="00000000" w:rsidRDefault="00000000" w:rsidRPr="00000000" w14:paraId="00000025">
      <w:pPr>
        <w:spacing w:after="0" w:line="240" w:lineRule="auto"/>
        <w:ind w:firstLine="0"/>
        <w:jc w:val="both"/>
        <w:rPr>
          <w:sz w:val="16"/>
          <w:szCs w:val="16"/>
          <w:highlight w:val="white"/>
        </w:rPr>
      </w:pPr>
      <w:r w:rsidDel="00000000" w:rsidR="00000000" w:rsidRPr="00000000">
        <w:rPr>
          <w:rtl w:val="0"/>
        </w:rPr>
      </w:r>
    </w:p>
    <w:p w:rsidR="00000000" w:rsidDel="00000000" w:rsidP="00000000" w:rsidRDefault="00000000" w:rsidRPr="00000000" w14:paraId="00000026">
      <w:pPr>
        <w:spacing w:after="0" w:line="240" w:lineRule="auto"/>
        <w:ind w:firstLine="0"/>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27">
      <w:pPr>
        <w:spacing w:after="0" w:line="240" w:lineRule="auto"/>
        <w:ind w:firstLine="0"/>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8">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29">
      <w:pPr>
        <w:spacing w:after="0" w:line="240" w:lineRule="auto"/>
        <w:ind w:firstLine="0"/>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A">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B">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C">
      <w:pPr>
        <w:numPr>
          <w:ilvl w:val="0"/>
          <w:numId w:val="4"/>
        </w:numPr>
        <w:spacing w:after="0" w:line="240" w:lineRule="auto"/>
        <w:ind w:left="720" w:hanging="360"/>
        <w:jc w:val="both"/>
        <w:rPr>
          <w:sz w:val="16"/>
          <w:szCs w:val="16"/>
        </w:rPr>
      </w:pPr>
      <w:r w:rsidDel="00000000" w:rsidR="00000000" w:rsidRPr="00000000">
        <w:rPr>
          <w:sz w:val="16"/>
          <w:szCs w:val="16"/>
          <w:rtl w:val="0"/>
        </w:rPr>
        <w:t xml:space="preserve">indirizzo di posta elettronica certificata </w:t>
      </w:r>
      <w:hyperlink r:id="rId9">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2D">
      <w:pPr>
        <w:numPr>
          <w:ilvl w:val="0"/>
          <w:numId w:val="4"/>
        </w:numPr>
        <w:spacing w:after="0" w:line="240" w:lineRule="auto"/>
        <w:ind w:left="720" w:hanging="360"/>
        <w:jc w:val="both"/>
        <w:rPr>
          <w:sz w:val="16"/>
          <w:szCs w:val="16"/>
        </w:rPr>
      </w:pPr>
      <w:r w:rsidDel="00000000" w:rsidR="00000000" w:rsidRPr="00000000">
        <w:rPr>
          <w:sz w:val="16"/>
          <w:szCs w:val="16"/>
          <w:rtl w:val="0"/>
        </w:rPr>
        <w:t xml:space="preserve">indirizzo di posta elettronica ordinaria </w:t>
      </w:r>
      <w:hyperlink r:id="rId10">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2E">
      <w:pPr>
        <w:numPr>
          <w:ilvl w:val="0"/>
          <w:numId w:val="4"/>
        </w:numPr>
        <w:spacing w:after="0" w:line="240" w:lineRule="auto"/>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2F">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0">
      <w:pPr>
        <w:spacing w:after="0" w:line="240" w:lineRule="auto"/>
        <w:ind w:firstLine="0"/>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31">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32">
      <w:pPr>
        <w:numPr>
          <w:ilvl w:val="0"/>
          <w:numId w:val="2"/>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Turismo 2020 della Camera di Commercio per le seguenti finalità:</w:t>
      </w:r>
    </w:p>
    <w:p w:rsidR="00000000" w:rsidDel="00000000" w:rsidP="00000000" w:rsidRDefault="00000000" w:rsidRPr="00000000" w14:paraId="00000033">
      <w:pPr>
        <w:numPr>
          <w:ilvl w:val="0"/>
          <w:numId w:val="3"/>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34">
      <w:pPr>
        <w:numPr>
          <w:ilvl w:val="0"/>
          <w:numId w:val="3"/>
        </w:numPr>
        <w:spacing w:after="0" w:line="240" w:lineRule="auto"/>
        <w:ind w:left="1080" w:hanging="360"/>
        <w:jc w:val="both"/>
        <w:rPr>
          <w:sz w:val="16"/>
          <w:szCs w:val="16"/>
        </w:rPr>
      </w:pPr>
      <w:bookmarkStart w:colFirst="0" w:colLast="0" w:name="_heading=h.30j0zll" w:id="1"/>
      <w:bookmarkEnd w:id="1"/>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35">
      <w:pPr>
        <w:numPr>
          <w:ilvl w:val="0"/>
          <w:numId w:val="3"/>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36">
      <w:pPr>
        <w:numPr>
          <w:ilvl w:val="0"/>
          <w:numId w:val="3"/>
        </w:numPr>
        <w:spacing w:after="6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37">
      <w:pPr>
        <w:spacing w:after="6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turismo ai sensi della legge n. 580/1993, come modificata dal D.Lgs. n. 219/2016. </w:t>
      </w:r>
    </w:p>
    <w:p w:rsidR="00000000" w:rsidDel="00000000" w:rsidP="00000000" w:rsidRDefault="00000000" w:rsidRPr="00000000" w14:paraId="00000038">
      <w:pPr>
        <w:numPr>
          <w:ilvl w:val="0"/>
          <w:numId w:val="2"/>
        </w:numPr>
        <w:spacing w:after="6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9">
      <w:pPr>
        <w:spacing w:after="6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A">
      <w:pPr>
        <w:spacing w:after="6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B">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C">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D">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3E">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F">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40">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41">
      <w:pPr>
        <w:spacing w:after="120" w:line="240" w:lineRule="auto"/>
        <w:ind w:firstLine="0"/>
        <w:jc w:val="both"/>
        <w:rPr>
          <w:sz w:val="16"/>
          <w:szCs w:val="16"/>
        </w:rPr>
      </w:pPr>
      <w:bookmarkStart w:colFirst="0" w:colLast="0" w:name="_heading=h.1fob9te" w:id="0"/>
      <w:bookmarkEnd w:id="0"/>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42">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43">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4">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45">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46">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7">
      <w:pPr>
        <w:spacing w:after="0" w:line="240" w:lineRule="auto"/>
        <w:ind w:firstLine="0"/>
        <w:jc w:val="both"/>
        <w:rPr>
          <w:b w:val="1"/>
          <w:color w:val="002060"/>
          <w:sz w:val="16"/>
          <w:szCs w:val="16"/>
          <w:highlight w:val="white"/>
          <w:u w:val="single"/>
        </w:rPr>
      </w:pPr>
      <w:bookmarkStart w:colFirst="0" w:colLast="0" w:name="_heading=h.3q3vpkpg44bz" w:id="2"/>
      <w:bookmarkEnd w:id="2"/>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48">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9">
      <w:pPr>
        <w:numPr>
          <w:ilvl w:val="0"/>
          <w:numId w:val="4"/>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A">
      <w:pPr>
        <w:numPr>
          <w:ilvl w:val="0"/>
          <w:numId w:val="4"/>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B">
      <w:pPr>
        <w:numPr>
          <w:ilvl w:val="0"/>
          <w:numId w:val="4"/>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C">
      <w:pPr>
        <w:numPr>
          <w:ilvl w:val="0"/>
          <w:numId w:val="4"/>
        </w:numPr>
        <w:spacing w:after="60" w:line="24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D">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E">
      <w:pPr>
        <w:spacing w:after="0" w:line="240" w:lineRule="auto"/>
        <w:ind w:firstLine="0"/>
        <w:jc w:val="both"/>
        <w:rPr>
          <w:sz w:val="12"/>
          <w:szCs w:val="12"/>
        </w:rPr>
      </w:pPr>
      <w:r w:rsidDel="00000000" w:rsidR="00000000" w:rsidRPr="00000000">
        <w:rPr>
          <w:rtl w:val="0"/>
        </w:rPr>
      </w:r>
    </w:p>
    <w:p w:rsidR="00000000" w:rsidDel="00000000" w:rsidP="00000000" w:rsidRDefault="00000000" w:rsidRPr="00000000" w14:paraId="0000004F">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50">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51">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52">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53">
      <w:pPr>
        <w:spacing w:after="0" w:line="240" w:lineRule="auto"/>
        <w:ind w:firstLine="0"/>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54">
      <w:pPr>
        <w:spacing w:after="0" w:line="240" w:lineRule="auto"/>
        <w:ind w:firstLine="0"/>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55">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56">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57">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8">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59">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A">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B">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C">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D">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E">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F">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60">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61">
      <w:pPr>
        <w:numPr>
          <w:ilvl w:val="0"/>
          <w:numId w:val="5"/>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62">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63">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64">
      <w:pPr>
        <w:spacing w:after="0" w:line="240" w:lineRule="auto"/>
        <w:ind w:firstLine="0"/>
        <w:jc w:val="both"/>
        <w:rPr>
          <w:rFonts w:ascii="Times New Roman" w:cs="Times New Roman" w:eastAsia="Times New Roman" w:hAnsi="Times New Roman"/>
          <w:b w:val="1"/>
          <w:color w:val="002060"/>
          <w:sz w:val="18"/>
          <w:szCs w:val="18"/>
        </w:rPr>
      </w:pPr>
      <w:r w:rsidDel="00000000" w:rsidR="00000000" w:rsidRPr="00000000">
        <w:rPr>
          <w:i w:val="1"/>
          <w:sz w:val="16"/>
          <w:szCs w:val="16"/>
          <w:rtl w:val="0"/>
        </w:rPr>
        <w:t xml:space="preserve">Questa informativa è stata aggiornata dalla Segreteria Generale in data 30-10-2020.</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b w:val="1"/>
          <w:sz w:val="18"/>
          <w:szCs w:val="18"/>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263.5039370078755" w:top="2551.1811023622045"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6B">
    <w:pPr>
      <w:tabs>
        <w:tab w:val="center" w:pos="4819"/>
        <w:tab w:val="right" w:pos="9638"/>
      </w:tabs>
      <w:spacing w:after="0" w:line="240" w:lineRule="auto"/>
      <w:ind w:firstLine="0"/>
      <w:jc w:val="center"/>
      <w:rPr>
        <w:color w:val="4a86e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-40631</wp:posOffset>
          </wp:positionV>
          <wp:extent cx="7562850" cy="1695450"/>
          <wp:effectExtent b="0" l="0" r="0" t="0"/>
          <wp:wrapSquare wrapText="bothSides" distB="0" distT="0" distL="114300" distR="114300"/>
          <wp:docPr id="1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spacing w:after="200" w:line="276" w:lineRule="auto"/>
      <w:ind w:left="-1" w:leftChars="-1" w:hanging="1" w:hangingChars="1"/>
      <w:textDirection w:val="btLr"/>
      <w:textAlignment w:val="top"/>
      <w:outlineLvl w:val="0"/>
    </w:pPr>
    <w:rPr>
      <w:position w:val="-1"/>
      <w:sz w:val="22"/>
      <w:szCs w:val="22"/>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uAUwMNpyvOtYdClkxZmbcIkFmg==">AMUW2mWV29hqBnGH1qICvmOEC5OiyrsiDflILWM9NJgtf9WBT5uLRfKprEFbRuEh3mmTQqROj4ydUQf1l4IcA+oVIwxQpzhk00O5G68aDJETfoLSzXamodich5Sfof1XBqT1pMzZIYx3r/i7XHAmmE254SCJe7rfBaRXlQVKW991eJyBNBNzB8o=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2020-08-07T10:05:00Z</dcterms:created>
  <dc:creator>LEVANTACI</dc:creator>
</cp:coreProperties>
</file>