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w:t>
      </w:r>
      <w:r w:rsidDel="00000000" w:rsidR="00000000" w:rsidRPr="00000000">
        <w:rPr>
          <w:b w:val="1"/>
          <w:i w:val="0"/>
          <w:smallCaps w:val="0"/>
          <w:strike w:val="0"/>
          <w:color w:val="000000"/>
          <w:sz w:val="22"/>
          <w:szCs w:val="22"/>
          <w:u w:val="none"/>
          <w:shd w:fill="auto" w:val="clear"/>
          <w:vertAlign w:val="baseline"/>
          <w:rtl w:val="0"/>
        </w:rPr>
        <w:t xml:space="preserve"> DICHIARAZIONE RATING DI LEGALITÀ - BANDO </w:t>
      </w:r>
      <w:r w:rsidDel="00000000" w:rsidR="00000000" w:rsidRPr="00000000">
        <w:rPr>
          <w:b w:val="1"/>
          <w:sz w:val="22"/>
          <w:szCs w:val="22"/>
          <w:rtl w:val="0"/>
        </w:rPr>
        <w:t xml:space="preserve">FORMAZIONE E LAVORO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sensi della Delibera AGCM del 14 novembre 2012, n. 24075 e s.m.i. “Regolamento attuativo in materia di </w:t>
      </w:r>
      <w:r w:rsidDel="00000000" w:rsidR="00000000" w:rsidRPr="00000000">
        <w:rPr>
          <w:i w:val="1"/>
          <w:smallCaps w:val="0"/>
          <w:strike w:val="0"/>
          <w:color w:val="000000"/>
          <w:sz w:val="22"/>
          <w:szCs w:val="22"/>
          <w:u w:val="none"/>
          <w:shd w:fill="auto" w:val="clear"/>
          <w:vertAlign w:val="baseline"/>
          <w:rtl w:val="0"/>
        </w:rPr>
        <w:t xml:space="preserve">rating </w:t>
      </w:r>
      <w:r w:rsidDel="00000000" w:rsidR="00000000" w:rsidRPr="00000000">
        <w:rPr>
          <w:i w:val="0"/>
          <w:smallCaps w:val="0"/>
          <w:strike w:val="0"/>
          <w:color w:val="000000"/>
          <w:sz w:val="22"/>
          <w:szCs w:val="22"/>
          <w:u w:val="none"/>
          <w:shd w:fill="auto" w:val="clear"/>
          <w:vertAlign w:val="baseline"/>
          <w:rtl w:val="0"/>
        </w:rPr>
        <w:t xml:space="preserve">di legalità” (di seguito “Il Regolamento AGCM”) e del Decreto 20 febbraio 2014, n. 57 - MEF-MISE “Regolamento concernente l’individuazione delle modalità in base alle quali si tiene conto del rating di legalità attribuito alle imprese ai fini della concessione di finanziamenti”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________________________________________________________________________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C.F.__________________________ nato/a a __________________________ il ______________________</w:t>
      </w:r>
      <w:r w:rsidDel="00000000" w:rsidR="00000000" w:rsidRPr="00000000">
        <w:rPr>
          <w:sz w:val="22"/>
          <w:szCs w:val="22"/>
          <w:rtl w:val="0"/>
        </w:rPr>
        <w:t xml:space="preserve">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sotto la propria personale responsabilità e </w:t>
      </w:r>
      <w:r w:rsidDel="00000000" w:rsidR="00000000" w:rsidRPr="00000000">
        <w:rPr>
          <w:sz w:val="22"/>
          <w:szCs w:val="22"/>
          <w:rtl w:val="0"/>
        </w:rPr>
        <w:t xml:space="preserve">in qualità di Titolare/Legale rappresentante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dell'impresa _______________________________________________________________________________________ con</w:t>
      </w:r>
      <w:r w:rsidDel="00000000" w:rsidR="00000000" w:rsidRPr="00000000">
        <w:rPr>
          <w:i w:val="0"/>
          <w:smallCaps w:val="0"/>
          <w:strike w:val="0"/>
          <w:color w:val="000000"/>
          <w:sz w:val="22"/>
          <w:szCs w:val="22"/>
          <w:u w:val="none"/>
          <w:shd w:fill="auto" w:val="clear"/>
          <w:vertAlign w:val="baseline"/>
          <w:rtl w:val="0"/>
        </w:rPr>
        <w:t xml:space="preserve"> sede legale in ______________________________ C.F._________________________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fini del corretto svolgimento dell’istruttoria</w:t>
      </w:r>
      <w:r w:rsidDel="00000000" w:rsidR="00000000" w:rsidRPr="00000000">
        <w:rPr>
          <w:sz w:val="22"/>
          <w:szCs w:val="22"/>
          <w:rtl w:val="0"/>
        </w:rPr>
        <w:t xml:space="preserve"> e per fruire della premialità di cui all’art. 3, punto 5, del Bando per le imprese in possesso del rating di legalità,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all’impresa è stato attribuito il rating di legalità con il punteggio di _____ </w:t>
      </w:r>
      <w:r w:rsidDel="00000000" w:rsidR="00000000" w:rsidRPr="00000000">
        <w:rPr>
          <w:sz w:val="22"/>
          <w:szCs w:val="22"/>
          <w:rtl w:val="0"/>
        </w:rPr>
        <w:t xml:space="preserve">stelle</w:t>
      </w:r>
      <w:r w:rsidDel="00000000" w:rsidR="00000000" w:rsidRPr="00000000">
        <w:rPr>
          <w:i w:val="0"/>
          <w:smallCaps w:val="0"/>
          <w:strike w:val="0"/>
          <w:color w:val="000000"/>
          <w:sz w:val="22"/>
          <w:szCs w:val="22"/>
          <w:u w:val="none"/>
          <w:shd w:fill="auto" w:val="clear"/>
          <w:vertAlign w:val="baseline"/>
          <w:rtl w:val="0"/>
        </w:rPr>
        <w:t xml:space="preserve"> previsto dall’art. 3 della citata Delibera e che il rating è ancora valido (non risulta scaduto, sospeso o revocato).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18">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Formazione e Lavoro 2020</w:t>
      </w:r>
    </w:p>
    <w:p w:rsidR="00000000" w:rsidDel="00000000" w:rsidP="00000000" w:rsidRDefault="00000000" w:rsidRPr="00000000" w14:paraId="00000019">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1A">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1B">
      <w:pPr>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Formazione e Lavoro 2020</w:t>
      </w:r>
      <w:r w:rsidDel="00000000" w:rsidR="00000000" w:rsidRPr="00000000">
        <w:rPr>
          <w:sz w:val="16"/>
          <w:szCs w:val="16"/>
          <w:highlight w:val="white"/>
          <w:rtl w:val="0"/>
        </w:rPr>
        <w:t xml:space="preserve">.</w:t>
      </w:r>
    </w:p>
    <w:p w:rsidR="00000000" w:rsidDel="00000000" w:rsidP="00000000" w:rsidRDefault="00000000" w:rsidRPr="00000000" w14:paraId="0000001C">
      <w:pPr>
        <w:jc w:val="both"/>
        <w:rPr>
          <w:sz w:val="16"/>
          <w:szCs w:val="16"/>
          <w:highlight w:val="white"/>
        </w:rPr>
      </w:pPr>
      <w:r w:rsidDel="00000000" w:rsidR="00000000" w:rsidRPr="00000000">
        <w:rPr>
          <w:rtl w:val="0"/>
        </w:rPr>
      </w:r>
    </w:p>
    <w:p w:rsidR="00000000" w:rsidDel="00000000" w:rsidP="00000000" w:rsidRDefault="00000000" w:rsidRPr="00000000" w14:paraId="0000001D">
      <w:pPr>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1E">
      <w:pPr>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1F">
      <w:pPr>
        <w:jc w:val="both"/>
        <w:rPr>
          <w:sz w:val="16"/>
          <w:szCs w:val="16"/>
        </w:rPr>
      </w:pPr>
      <w:r w:rsidDel="00000000" w:rsidR="00000000" w:rsidRPr="00000000">
        <w:rPr>
          <w:rtl w:val="0"/>
        </w:rPr>
      </w:r>
    </w:p>
    <w:p w:rsidR="00000000" w:rsidDel="00000000" w:rsidP="00000000" w:rsidRDefault="00000000" w:rsidRPr="00000000" w14:paraId="00000020">
      <w:pPr>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1">
      <w:pPr>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2">
      <w:pPr>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3">
      <w:pPr>
        <w:numPr>
          <w:ilvl w:val="0"/>
          <w:numId w:val="3"/>
        </w:numPr>
        <w:ind w:left="720" w:hanging="360"/>
        <w:jc w:val="both"/>
        <w:rPr>
          <w:sz w:val="16"/>
          <w:szCs w:val="16"/>
        </w:rPr>
      </w:pPr>
      <w:r w:rsidDel="00000000" w:rsidR="00000000" w:rsidRPr="00000000">
        <w:rPr>
          <w:sz w:val="16"/>
          <w:szCs w:val="16"/>
          <w:rtl w:val="0"/>
        </w:rPr>
        <w:t xml:space="preserve">indirizzo di posta elettronica certificata </w:t>
      </w:r>
      <w:hyperlink r:id="rId9">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24">
      <w:pPr>
        <w:numPr>
          <w:ilvl w:val="0"/>
          <w:numId w:val="3"/>
        </w:numPr>
        <w:ind w:left="720" w:hanging="360"/>
        <w:jc w:val="both"/>
        <w:rPr>
          <w:sz w:val="16"/>
          <w:szCs w:val="16"/>
        </w:rPr>
      </w:pPr>
      <w:r w:rsidDel="00000000" w:rsidR="00000000" w:rsidRPr="00000000">
        <w:rPr>
          <w:sz w:val="16"/>
          <w:szCs w:val="16"/>
          <w:rtl w:val="0"/>
        </w:rPr>
        <w:t xml:space="preserve">indirizzo di posta elettronica ordinaria </w:t>
      </w:r>
      <w:hyperlink r:id="rId10">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25">
      <w:pPr>
        <w:numPr>
          <w:ilvl w:val="0"/>
          <w:numId w:val="3"/>
        </w:numPr>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26">
      <w:pPr>
        <w:jc w:val="both"/>
        <w:rPr>
          <w:sz w:val="16"/>
          <w:szCs w:val="16"/>
        </w:rPr>
      </w:pPr>
      <w:r w:rsidDel="00000000" w:rsidR="00000000" w:rsidRPr="00000000">
        <w:rPr>
          <w:rtl w:val="0"/>
        </w:rPr>
      </w:r>
    </w:p>
    <w:p w:rsidR="00000000" w:rsidDel="00000000" w:rsidP="00000000" w:rsidRDefault="00000000" w:rsidRPr="00000000" w14:paraId="00000027">
      <w:pPr>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28">
      <w:pPr>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29">
      <w:pPr>
        <w:numPr>
          <w:ilvl w:val="0"/>
          <w:numId w:val="4"/>
        </w:numPr>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02A">
      <w:pPr>
        <w:numPr>
          <w:ilvl w:val="0"/>
          <w:numId w:val="1"/>
        </w:numPr>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2B">
      <w:pPr>
        <w:numPr>
          <w:ilvl w:val="0"/>
          <w:numId w:val="1"/>
        </w:numPr>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2C">
      <w:pPr>
        <w:numPr>
          <w:ilvl w:val="0"/>
          <w:numId w:val="1"/>
        </w:numPr>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2D">
      <w:pPr>
        <w:numPr>
          <w:ilvl w:val="0"/>
          <w:numId w:val="1"/>
        </w:numPr>
        <w:spacing w:after="6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2E">
      <w:pPr>
        <w:spacing w:after="6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02F">
      <w:pPr>
        <w:numPr>
          <w:ilvl w:val="0"/>
          <w:numId w:val="4"/>
        </w:numPr>
        <w:spacing w:after="6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0">
      <w:pPr>
        <w:spacing w:after="60" w:lineRule="auto"/>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1">
      <w:pPr>
        <w:spacing w:after="60" w:lineRule="auto"/>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2">
      <w:pPr>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3">
      <w:pPr>
        <w:jc w:val="both"/>
        <w:rPr>
          <w:sz w:val="16"/>
          <w:szCs w:val="16"/>
        </w:rPr>
      </w:pPr>
      <w:r w:rsidDel="00000000" w:rsidR="00000000" w:rsidRPr="00000000">
        <w:rPr>
          <w:rtl w:val="0"/>
        </w:rPr>
      </w:r>
    </w:p>
    <w:p w:rsidR="00000000" w:rsidDel="00000000" w:rsidP="00000000" w:rsidRDefault="00000000" w:rsidRPr="00000000" w14:paraId="00000034">
      <w:pPr>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35">
      <w:pPr>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6">
      <w:pPr>
        <w:jc w:val="both"/>
        <w:rPr>
          <w:b w:val="1"/>
          <w:color w:val="002060"/>
          <w:sz w:val="16"/>
          <w:szCs w:val="16"/>
        </w:rPr>
      </w:pPr>
      <w:r w:rsidDel="00000000" w:rsidR="00000000" w:rsidRPr="00000000">
        <w:rPr>
          <w:rtl w:val="0"/>
        </w:rPr>
      </w:r>
    </w:p>
    <w:p w:rsidR="00000000" w:rsidDel="00000000" w:rsidP="00000000" w:rsidRDefault="00000000" w:rsidRPr="00000000" w14:paraId="00000037">
      <w:pPr>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38">
      <w:pPr>
        <w:spacing w:after="120" w:lineRule="auto"/>
        <w:jc w:val="both"/>
        <w:rPr>
          <w:sz w:val="16"/>
          <w:szCs w:val="16"/>
        </w:rPr>
      </w:pPr>
      <w:bookmarkStart w:colFirst="0" w:colLast="0" w:name="_heading=h.1fob9te" w:id="1"/>
      <w:bookmarkEnd w:id="1"/>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9">
      <w:pPr>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3A">
      <w:pPr>
        <w:jc w:val="both"/>
        <w:rPr>
          <w:sz w:val="16"/>
          <w:szCs w:val="16"/>
        </w:rPr>
      </w:pPr>
      <w:r w:rsidDel="00000000" w:rsidR="00000000" w:rsidRPr="00000000">
        <w:rPr>
          <w:rtl w:val="0"/>
        </w:rPr>
      </w:r>
    </w:p>
    <w:p w:rsidR="00000000" w:rsidDel="00000000" w:rsidP="00000000" w:rsidRDefault="00000000" w:rsidRPr="00000000" w14:paraId="0000003B">
      <w:pPr>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3C">
      <w:pPr>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3D">
      <w:pPr>
        <w:jc w:val="both"/>
        <w:rPr>
          <w:sz w:val="16"/>
          <w:szCs w:val="16"/>
        </w:rPr>
      </w:pPr>
      <w:r w:rsidDel="00000000" w:rsidR="00000000" w:rsidRPr="00000000">
        <w:rPr>
          <w:rtl w:val="0"/>
        </w:rPr>
      </w:r>
    </w:p>
    <w:p w:rsidR="00000000" w:rsidDel="00000000" w:rsidP="00000000" w:rsidRDefault="00000000" w:rsidRPr="00000000" w14:paraId="0000003E">
      <w:pPr>
        <w:jc w:val="both"/>
        <w:rPr>
          <w:b w:val="1"/>
          <w:color w:val="002060"/>
          <w:sz w:val="16"/>
          <w:szCs w:val="16"/>
          <w:highlight w:val="white"/>
          <w:u w:val="single"/>
        </w:rPr>
      </w:pPr>
      <w:bookmarkStart w:colFirst="0" w:colLast="0" w:name="_heading=h.3q3vpkpg44bz" w:id="2"/>
      <w:bookmarkEnd w:id="2"/>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3F">
      <w:pPr>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0">
      <w:pPr>
        <w:numPr>
          <w:ilvl w:val="0"/>
          <w:numId w:val="3"/>
        </w:numPr>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1">
      <w:pPr>
        <w:numPr>
          <w:ilvl w:val="0"/>
          <w:numId w:val="3"/>
        </w:numPr>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2">
      <w:pPr>
        <w:numPr>
          <w:ilvl w:val="0"/>
          <w:numId w:val="3"/>
        </w:numPr>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3">
      <w:pPr>
        <w:numPr>
          <w:ilvl w:val="0"/>
          <w:numId w:val="3"/>
        </w:numPr>
        <w:spacing w:after="6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4">
      <w:pPr>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5">
      <w:pPr>
        <w:jc w:val="both"/>
        <w:rPr>
          <w:sz w:val="12"/>
          <w:szCs w:val="12"/>
        </w:rPr>
      </w:pPr>
      <w:r w:rsidDel="00000000" w:rsidR="00000000" w:rsidRPr="00000000">
        <w:rPr>
          <w:rtl w:val="0"/>
        </w:rPr>
      </w:r>
    </w:p>
    <w:p w:rsidR="00000000" w:rsidDel="00000000" w:rsidP="00000000" w:rsidRDefault="00000000" w:rsidRPr="00000000" w14:paraId="00000046">
      <w:pPr>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47">
      <w:pPr>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8">
      <w:pPr>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9">
      <w:pPr>
        <w:jc w:val="both"/>
        <w:rPr>
          <w:b w:val="1"/>
          <w:color w:val="002060"/>
          <w:sz w:val="16"/>
          <w:szCs w:val="16"/>
          <w:u w:val="single"/>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4A">
      <w:pPr>
        <w:spacing w:after="120" w:lineRule="auto"/>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4B">
      <w:pPr>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4C">
      <w:pPr>
        <w:jc w:val="both"/>
        <w:rPr>
          <w:sz w:val="16"/>
          <w:szCs w:val="16"/>
        </w:rPr>
      </w:pPr>
      <w:r w:rsidDel="00000000" w:rsidR="00000000" w:rsidRPr="00000000">
        <w:rPr>
          <w:rtl w:val="0"/>
        </w:rPr>
      </w:r>
    </w:p>
    <w:p w:rsidR="00000000" w:rsidDel="00000000" w:rsidP="00000000" w:rsidRDefault="00000000" w:rsidRPr="00000000" w14:paraId="0000004D">
      <w:pPr>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4E">
      <w:pPr>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4F">
      <w:pPr>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0">
      <w:pPr>
        <w:numPr>
          <w:ilvl w:val="0"/>
          <w:numId w:val="2"/>
        </w:numPr>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1">
      <w:pPr>
        <w:numPr>
          <w:ilvl w:val="0"/>
          <w:numId w:val="2"/>
        </w:numPr>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2">
      <w:pPr>
        <w:numPr>
          <w:ilvl w:val="0"/>
          <w:numId w:val="2"/>
        </w:numPr>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53">
      <w:pPr>
        <w:numPr>
          <w:ilvl w:val="0"/>
          <w:numId w:val="2"/>
        </w:numPr>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54">
      <w:pPr>
        <w:numPr>
          <w:ilvl w:val="0"/>
          <w:numId w:val="2"/>
        </w:numPr>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55">
      <w:pPr>
        <w:numPr>
          <w:ilvl w:val="0"/>
          <w:numId w:val="2"/>
        </w:numPr>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56">
      <w:pPr>
        <w:numPr>
          <w:ilvl w:val="0"/>
          <w:numId w:val="2"/>
        </w:numPr>
        <w:spacing w:after="12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7">
      <w:pPr>
        <w:spacing w:after="120" w:lineRule="auto"/>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58">
      <w:pPr>
        <w:jc w:val="both"/>
        <w:rPr>
          <w:i w:val="1"/>
          <w:sz w:val="16"/>
          <w:szCs w:val="16"/>
        </w:rPr>
      </w:pPr>
      <w:r w:rsidDel="00000000" w:rsidR="00000000" w:rsidRPr="00000000">
        <w:rPr>
          <w:rtl w:val="0"/>
        </w:rPr>
      </w:r>
    </w:p>
    <w:p w:rsidR="00000000" w:rsidDel="00000000" w:rsidP="00000000" w:rsidRDefault="00000000" w:rsidRPr="00000000" w14:paraId="00000059">
      <w:pPr>
        <w:jc w:val="both"/>
        <w:rPr>
          <w:sz w:val="14"/>
          <w:szCs w:val="14"/>
        </w:rPr>
      </w:pPr>
      <w:r w:rsidDel="00000000" w:rsidR="00000000" w:rsidRPr="00000000">
        <w:rPr>
          <w:i w:val="1"/>
          <w:sz w:val="16"/>
          <w:szCs w:val="16"/>
          <w:rtl w:val="0"/>
        </w:rPr>
        <w:t xml:space="preserve">Questa informativa è stata aggiornata dalla Segreteria Generale in data 01-12-2020.</w:t>
      </w:r>
      <w:r w:rsidDel="00000000" w:rsidR="00000000" w:rsidRPr="00000000">
        <w:rPr>
          <w:rtl w:val="0"/>
        </w:rPr>
      </w:r>
    </w:p>
    <w:p w:rsidR="00000000" w:rsidDel="00000000" w:rsidP="00000000" w:rsidRDefault="00000000" w:rsidRPr="00000000" w14:paraId="0000005A">
      <w:pPr>
        <w:ind w:hanging="2"/>
        <w:rPr>
          <w:rFonts w:ascii="Times New Roman" w:cs="Times New Roman" w:eastAsia="Times New Roman" w:hAnsi="Times New Roman"/>
          <w:b w:val="1"/>
          <w:color w:val="002060"/>
          <w:sz w:val="18"/>
          <w:szCs w:val="18"/>
        </w:rPr>
      </w:pPr>
      <w:r w:rsidDel="00000000" w:rsidR="00000000" w:rsidRPr="00000000">
        <w:rPr>
          <w:rtl w:val="0"/>
        </w:rPr>
      </w:r>
    </w:p>
    <w:sectPr>
      <w:headerReference r:id="rId13" w:type="default"/>
      <w:footerReference r:id="rId14" w:type="default"/>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rating di legalità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-1422</wp:posOffset>
          </wp:positionH>
          <wp:positionV relativeFrom="topMargin">
            <wp:posOffset>-450846</wp:posOffset>
          </wp:positionV>
          <wp:extent cx="7562850" cy="169545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1.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MplD6yfUhqR0csHaVloSviFcw==">AMUW2mUX2RSQI6RLdRupQpQX9htX8j8M77btJinze/1+i/ne0vxPG11iuF31RO3LFsg+piWFq8lMh6n20WcLGbhbpY0LcKUbcz7cPlLi0V399kdx62FL1zt4itXOc8P8RALsGCcxtoL6nSTSRoNBLIHhpXPhHOxemPIXfzfunvtzkfZJxZZkXSk=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